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Équipements santé et écoles cartographiés (OpenStreetMap)</w:t>
      </w:r>
    </w:p>
    <w:p>
      <w:r>
        <w:rPr>
          <w:i/>
          <w:color w:val="516173"/>
        </w:rPr>
        <w:t>Fiche de documentation — modèle « Datasheets for Datasets » (Gebru et al.), version Aether Transparency Working Group, adaptée par Atmart Data aux agrégats territoriaux.</w:t>
      </w:r>
    </w:p>
    <w:p>
      <w:pPr>
        <w:pStyle w:val="IntenseQuote"/>
      </w:pPr>
      <w:r>
        <w:rPr>
          <w:b/>
        </w:rPr>
        <w:t>Cette fiche est GÉNÉRÉE depuis le fichier publié.</w:t>
      </w:r>
      <w:r>
        <w:rPr>
          <w:b w:val="0"/>
        </w:rPr>
        <w:t xml:space="preserve"> Les chiffres de complétude sont recomptés à chaque exécution, jamais recopiés d'une note. Une fiche qui vieillit mal est pire qu'une absence de fiche.</w:t>
      </w:r>
    </w:p>
    <w:p>
      <w:pPr>
        <w:pStyle w:val="Heading1"/>
      </w:pPr>
      <w:r>
        <w:t>1. Bases : contact, diffusion, accès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jeu</w:t>
            </w:r>
          </w:p>
        </w:tc>
        <w:tc>
          <w:tcPr>
            <w:tcW w:type="dxa" w:w="4320"/>
          </w:tcPr>
          <w:p>
            <w:r>
              <w:t>Équipements santé et écoles cartographiés (OpenStreetMap)</w:t>
            </w:r>
          </w:p>
        </w:tc>
      </w:tr>
      <w:tr>
        <w:tc>
          <w:tcPr>
            <w:tcW w:type="dxa" w:w="4320"/>
          </w:tcPr>
          <w:p>
            <w:r>
              <w:t>Fichier</w:t>
            </w:r>
          </w:p>
        </w:tc>
        <w:tc>
          <w:tcPr>
            <w:tcW w:type="dxa" w:w="4320"/>
          </w:tcPr>
          <w:p>
            <w:r>
              <w:t>atmart_equipements_hot.json</w:t>
            </w:r>
          </w:p>
        </w:tc>
      </w:tr>
      <w:tr>
        <w:tc>
          <w:tcPr>
            <w:tcW w:type="dxa" w:w="4320"/>
          </w:tcPr>
          <w:p>
            <w:r>
              <w:t>Millésime</w:t>
            </w:r>
          </w:p>
        </w:tc>
        <w:tc>
          <w:tcPr>
            <w:tcW w:type="dxa" w:w="4320"/>
          </w:tcPr>
          <w:p>
            <w:r>
              <w:t>voir « source »</w:t>
            </w:r>
          </w:p>
        </w:tc>
      </w:tr>
      <w:tr>
        <w:tc>
          <w:tcPr>
            <w:tcW w:type="dxa" w:w="4320"/>
          </w:tcPr>
          <w:p>
            <w:r>
              <w:t>Responsable</w:t>
            </w:r>
          </w:p>
        </w:tc>
        <w:tc>
          <w:tcPr>
            <w:tcW w:type="dxa" w:w="4320"/>
          </w:tcPr>
          <w:p>
            <w:r>
              <w:t>Atmart Data — myriljeanwisner@gmail.com</w:t>
            </w:r>
          </w:p>
        </w:tc>
      </w:tr>
      <w:tr>
        <w:tc>
          <w:tcPr>
            <w:tcW w:type="dxa" w:w="4320"/>
          </w:tcPr>
          <w:p>
            <w:r>
              <w:t>Qui peut y accéder</w:t>
            </w:r>
          </w:p>
        </w:tc>
        <w:tc>
          <w:tcPr>
            <w:tcW w:type="dxa" w:w="4320"/>
          </w:tcPr>
          <w:p>
            <w:r>
              <w:t>tout le monde, sans compte</w:t>
            </w:r>
          </w:p>
        </w:tc>
      </w:tr>
      <w:tr>
        <w:tc>
          <w:tcPr>
            <w:tcW w:type="dxa" w:w="4320"/>
          </w:tcPr>
          <w:p>
            <w:r>
              <w:t>Comment</w:t>
            </w:r>
          </w:p>
        </w:tc>
        <w:tc>
          <w:tcPr>
            <w:tcW w:type="dxa" w:w="4320"/>
          </w:tcPr>
          <w:p>
            <w:r>
              <w:t>https://explorateur.atmart.ltd/data/atmart_equipements_hot.json</w:t>
            </w:r>
          </w:p>
        </w:tc>
      </w:tr>
    </w:tbl>
    <w:p>
      <w:pPr>
        <w:pStyle w:val="Heading1"/>
      </w:pPr>
      <w:r>
        <w:t>2. Contenu</w:t>
      </w:r>
    </w:p>
    <w:p>
      <w:pPr>
        <w:pStyle w:val="ListBullet"/>
      </w:pPr>
      <w:r>
        <w:rPr>
          <w:b/>
        </w:rPr>
        <w:t>Ce que représente chaque entrée</w:t>
      </w:r>
      <w:r>
        <w:rPr>
          <w:b w:val="0"/>
        </w:rPr>
        <w:t xml:space="preserve"> : une commune.</w:t>
      </w:r>
    </w:p>
    <w:p>
      <w:pPr>
        <w:pStyle w:val="ListBullet"/>
      </w:pPr>
      <w:r>
        <w:rPr>
          <w:b/>
        </w:rPr>
        <w:t>Nombre d'entrées</w:t>
      </w:r>
      <w:r>
        <w:rPr>
          <w:b w:val="0"/>
        </w:rPr>
        <w:t xml:space="preserve"> : 140.</w:t>
      </w:r>
    </w:p>
    <w:p>
      <w:pPr>
        <w:pStyle w:val="ListBullet"/>
      </w:pPr>
      <w:r>
        <w:rPr>
          <w:b/>
        </w:rPr>
        <w:t>Source d'origine</w:t>
      </w:r>
      <w:r>
        <w:rPr>
          <w:b w:val="0"/>
        </w:rPr>
        <w:t xml:space="preserve"> : OpenStreetMap, extrait Humanitarian OpenStreetMap Team du 6 août 2026</w:t>
      </w:r>
    </w:p>
    <w:p>
      <w:pPr>
        <w:pStyle w:val="Heading1"/>
      </w:pPr>
      <w:r>
        <w:t>3. Complétude — MESURÉE, pas déclarée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Entrées portant une mesure</w:t>
            </w:r>
          </w:p>
        </w:tc>
        <w:tc>
          <w:tcPr>
            <w:tcW w:type="dxa" w:w="4320"/>
          </w:tcPr>
          <w:p>
            <w:r>
              <w:t>139 sur 140 (99 %)</w:t>
            </w:r>
          </w:p>
        </w:tc>
      </w:tr>
      <w:tr>
        <w:tc>
          <w:tcPr>
            <w:tcW w:type="dxa" w:w="4320"/>
          </w:tcPr>
          <w:p>
            <w:r>
              <w:t>Critère de comptage</w:t>
            </w:r>
          </w:p>
        </w:tc>
        <w:tc>
          <w:tcPr>
            <w:tcW w:type="dxa" w:w="4320"/>
          </w:tcPr>
          <w:p>
            <w:r>
              <w:t>champ « s » non vide</w:t>
            </w:r>
          </w:p>
        </w:tc>
      </w:tr>
    </w:tbl>
    <w:p>
      <w:r>
        <w:rPr>
          <w:b/>
        </w:rPr>
        <w:t>1 entrée(s) sans mesure.</w:t>
      </w:r>
      <w:r>
        <w:rPr>
          <w:b w:val="0"/>
        </w:rPr>
        <w:t xml:space="preserve"> Ce ne sont pas des zéros : la source ne les couvre pas. Toute lecture qui les traiterait comme des zéros serait fausse — et c'est l'erreur la plus fréquente sur ce genre de jeu.</w:t>
      </w:r>
    </w:p>
    <w:p>
      <w:pPr>
        <w:pStyle w:val="Heading1"/>
      </w:pPr>
      <w:r>
        <w:t>4. Concordance avec d'autres sources</w:t>
      </w:r>
    </w:p>
    <w:p>
      <w:r>
        <w:rPr>
          <w:b w:val="0"/>
        </w:rPr>
        <w:t xml:space="preserve">Ce jeu est </w:t>
      </w:r>
      <w:r>
        <w:rPr>
          <w:b/>
        </w:rPr>
        <w:t>confrontable</w:t>
      </w:r>
      <w:r>
        <w:rPr>
          <w:b w:val="0"/>
        </w:rPr>
        <w:t xml:space="preserve"> : une autre source mesure le même objet par une méthode différente. Résultat de la confrontation, sur les 140 communes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État</w:t>
            </w:r>
          </w:p>
        </w:tc>
        <w:tc>
          <w:tcPr>
            <w:tcW w:type="dxa" w:w="4320"/>
          </w:tcPr>
          <w:p>
            <w:r>
              <w:t>Communes</w:t>
            </w:r>
          </w:p>
        </w:tc>
      </w:tr>
      <w:tr>
        <w:tc>
          <w:tcPr>
            <w:tcW w:type="dxa" w:w="4320"/>
          </w:tcPr>
          <w:p>
            <w:r>
              <w:t>concordant</w:t>
            </w:r>
          </w:p>
        </w:tc>
        <w:tc>
          <w:tcPr>
            <w:tcW w:type="dxa" w:w="4320"/>
          </w:tcPr>
          <w:p>
            <w:r>
              <w:t>67</w:t>
            </w:r>
          </w:p>
        </w:tc>
      </w:tr>
      <w:tr>
        <w:tc>
          <w:tcPr>
            <w:tcW w:type="dxa" w:w="4320"/>
          </w:tcPr>
          <w:p>
            <w:r>
              <w:t>ecart_modere</w:t>
            </w:r>
          </w:p>
        </w:tc>
        <w:tc>
          <w:tcPr>
            <w:tcW w:type="dxa" w:w="4320"/>
          </w:tcPr>
          <w:p>
            <w:r>
              <w:t>51</w:t>
            </w:r>
          </w:p>
        </w:tc>
      </w:tr>
      <w:tr>
        <w:tc>
          <w:tcPr>
            <w:tcW w:type="dxa" w:w="4320"/>
          </w:tcPr>
          <w:p>
            <w:r>
              <w:t>desaccord</w:t>
            </w:r>
          </w:p>
        </w:tc>
        <w:tc>
          <w:tcPr>
            <w:tcW w:type="dxa" w:w="4320"/>
          </w:tcPr>
          <w:p>
            <w:r>
              <w:t>20</w:t>
            </w:r>
          </w:p>
        </w:tc>
      </w:tr>
      <w:tr>
        <w:tc>
          <w:tcPr>
            <w:tcW w:type="dxa" w:w="4320"/>
          </w:tcPr>
          <w:p>
            <w:r>
              <w:t>invérifiable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</w:tbl>
    <w:p>
      <w:pPr>
        <w:pStyle w:val="Heading1"/>
      </w:pPr>
      <w:r>
        <w:t>5. Usages prévus, et usages inappropriés</w:t>
      </w:r>
    </w:p>
    <w:p>
      <w:r>
        <w:rPr>
          <w:b/>
        </w:rPr>
        <w:t>Prévu</w:t>
      </w:r>
      <w:r>
        <w:rPr>
          <w:b w:val="0"/>
        </w:rPr>
        <w:t xml:space="preserve"> : situer un territoire, comparer des communes, préparer un diagnostic, alimenter un rapport en citant la source et le millésime.</w:t>
      </w:r>
    </w:p>
    <w:p>
      <w:r>
        <w:rPr>
          <w:b/>
        </w:rPr>
        <w:t>Inapproprié</w:t>
      </w:r>
      <w:r>
        <w:rPr>
          <w:b w:val="0"/>
        </w:rPr>
        <w:t xml:space="preserve"> :</w:t>
      </w:r>
    </w:p>
    <w:p>
      <w:pPr>
        <w:pStyle w:val="ListBullet"/>
      </w:pPr>
      <w:r>
        <w:rPr>
          <w:b w:val="0"/>
        </w:rPr>
        <w:t>traiter une absence comme un zéro ;</w:t>
      </w:r>
    </w:p>
    <w:p>
      <w:pPr>
        <w:pStyle w:val="ListBullet"/>
      </w:pPr>
      <w:r>
        <w:rPr>
          <w:b w:val="0"/>
        </w:rPr>
        <w:t>comparer deux communes documentées par des millésimes différents sans le dire ;</w:t>
      </w:r>
    </w:p>
    <w:p>
      <w:pPr>
        <w:pStyle w:val="ListBullet"/>
      </w:pPr>
      <w:r>
        <w:rPr>
          <w:b w:val="0"/>
        </w:rPr>
        <w:t>en tirer une conclusion sur des personnes : ce jeu est un agrégat territorial et ne descend jamais à l'individu.</w:t>
      </w:r>
    </w:p>
    <w:p>
      <w:pPr>
        <w:pStyle w:val="Heading1"/>
      </w:pPr>
      <w:r>
        <w:t>6. Qualité des données — ce que le producteur signale</w:t>
      </w:r>
    </w:p>
    <w:p>
      <w:pPr>
        <w:pStyle w:val="ListBullet"/>
      </w:pPr>
      <w:r>
        <w:rPr>
          <w:b w:val="0"/>
        </w:rPr>
        <w:t>OpenStreetMap est une base contributive : sa couverture suit les cartographes, pas le terrain. Une commune peu cartographiée paraît sous-équipée — c'est un défaut de la carte, pas du territoire.</w:t>
      </w:r>
    </w:p>
    <w:p>
      <w:pPr>
        <w:pStyle w:val="Heading1"/>
      </w:pPr>
      <w:r>
        <w:t>7. Ce que ce jeu NE PERMET PAS de conclure</w:t>
      </w:r>
    </w:p>
    <w:p>
      <w:r>
        <w:rPr>
          <w:b w:val="0"/>
        </w:rPr>
        <w:t>Section ajoutée par Atmart : elle n'existe pas dans le modèle d'origine, et c'est celle qu'aucun producteur ne remplit spontanément.</w:t>
      </w:r>
    </w:p>
    <w:p>
      <w:pPr>
        <w:pStyle w:val="ListBullet"/>
      </w:pPr>
      <w:r>
        <w:rPr>
          <w:b w:val="0"/>
        </w:rPr>
        <w:t xml:space="preserve">Le nombre d'établissements ne dit rien de leur </w:t>
      </w:r>
      <w:r>
        <w:rPr>
          <w:b/>
        </w:rPr>
        <w:t>capacité</w:t>
      </w:r>
      <w:r>
        <w:rPr>
          <w:b w:val="0"/>
        </w:rPr>
        <w:t>, de leur personnel, ni de leurs heures d'ouverture.</w:t>
      </w:r>
    </w:p>
    <w:p>
      <w:pPr>
        <w:pStyle w:val="ListBullet"/>
      </w:pPr>
      <w:r>
        <w:rPr>
          <w:b w:val="0"/>
        </w:rPr>
        <w:t xml:space="preserve">Un établissement </w:t>
      </w:r>
      <w:r>
        <w:rPr>
          <w:b/>
        </w:rPr>
        <w:t>déclaré</w:t>
      </w:r>
      <w:r>
        <w:rPr>
          <w:b w:val="0"/>
        </w:rPr>
        <w:t xml:space="preserve"> peut être fermé ; un établissement </w:t>
      </w:r>
      <w:r>
        <w:rPr>
          <w:b/>
        </w:rPr>
        <w:t>cartographié</w:t>
      </w:r>
      <w:r>
        <w:rPr>
          <w:b w:val="0"/>
        </w:rPr>
        <w:t xml:space="preserve"> peut être un cabinet privé fermé depuis des années.</w:t>
      </w:r>
    </w:p>
    <w:p>
      <w:pPr>
        <w:pStyle w:val="ListBullet"/>
      </w:pPr>
      <w:r>
        <w:rPr>
          <w:b w:val="0"/>
        </w:rPr>
        <w:t>Aucune conclusion sur l'accès : deux communes à cinq établissements n'ont pas le même accès si l'une est montagneuse.</w:t>
      </w:r>
    </w:p>
    <w:p>
      <w:pPr>
        <w:pStyle w:val="Heading1"/>
      </w:pPr>
      <w:r>
        <w:t>8. Vie privée</w:t>
      </w:r>
    </w:p>
    <w:p>
      <w:r>
        <w:rPr>
          <w:b/>
        </w:rPr>
        <w:t>Aucune donnée personnelle.</w:t>
      </w:r>
      <w:r>
        <w:rPr>
          <w:b w:val="0"/>
        </w:rPr>
        <w:t xml:space="preserve"> Ce jeu est un agrégat par commune ; aucune personne n'y est identifiable, directement ou indirectement, et aucun seuil de diffusion n'est requis. Les questions 24 à 27 du modèle Aether (consentement, données sensibles, analyse d'impact) sont donc </w:t>
      </w:r>
      <w:r>
        <w:rPr>
          <w:b/>
        </w:rPr>
        <w:t>sans objet</w:t>
      </w:r>
      <w:r>
        <w:rPr>
          <w:b w:val="0"/>
        </w:rPr>
        <w:t xml:space="preserve"> — et non « non renseignées ».</w:t>
      </w:r>
    </w:p>
    <w:p>
      <w:pPr>
        <w:pStyle w:val="Heading1"/>
      </w:pPr>
      <w:r>
        <w:t>9. Passeport juridique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Passeport</w:t>
            </w:r>
          </w:p>
        </w:tc>
        <w:tc>
          <w:tcPr>
            <w:tcW w:type="dxa" w:w="4320"/>
          </w:tcPr>
          <w:p>
            <w:r>
              <w:t>PSP-024</w:t>
            </w:r>
          </w:p>
        </w:tc>
      </w:tr>
      <w:tr>
        <w:tc>
          <w:tcPr>
            <w:tcW w:type="dxa" w:w="4320"/>
          </w:tcPr>
          <w:p>
            <w:r>
              <w:t>Producteur</w:t>
            </w:r>
          </w:p>
        </w:tc>
        <w:tc>
          <w:tcPr>
            <w:tcW w:type="dxa" w:w="4320"/>
          </w:tcPr>
          <w:p>
            <w:r>
              <w:t>OpenStreetMap Contributors</w:t>
            </w:r>
          </w:p>
        </w:tc>
      </w:tr>
      <w:tr>
        <w:tc>
          <w:tcPr>
            <w:tcW w:type="dxa" w:w="4320"/>
          </w:tcPr>
          <w:p>
            <w:r>
              <w:t>Licence</w:t>
            </w:r>
          </w:p>
        </w:tc>
        <w:tc>
          <w:tcPr>
            <w:tcW w:type="dxa" w:w="4320"/>
          </w:tcPr>
          <w:p>
            <w:r>
              <w:t>ODbL 1.0</w:t>
            </w:r>
          </w:p>
        </w:tc>
      </w:tr>
      <w:tr>
        <w:tc>
          <w:tcPr>
            <w:tcW w:type="dxa" w:w="4320"/>
          </w:tcPr>
          <w:p>
            <w:r>
              <w:t>Statut juridique</w:t>
            </w:r>
          </w:p>
        </w:tc>
        <w:tc>
          <w:tcPr>
            <w:tcW w:type="dxa" w:w="4320"/>
          </w:tcPr>
          <w:p>
            <w:r>
              <w:t>OUVERTE_AVEC_PARTAGE_IDENTIQUE</w:t>
            </w:r>
          </w:p>
        </w:tc>
      </w:tr>
      <w:tr>
        <w:tc>
          <w:tcPr>
            <w:tcW w:type="dxa" w:w="4320"/>
          </w:tcPr>
          <w:p>
            <w:r>
              <w:t>Redistribution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Usage commercial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Publiable librement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Utilisable en prestation payante</w:t>
            </w:r>
          </w:p>
        </w:tc>
        <w:tc>
          <w:tcPr>
            <w:tcW w:type="dxa" w:w="4320"/>
          </w:tcPr>
          <w:p>
            <w:r>
              <w:t>OUI — sous ODbL</w:t>
            </w:r>
          </w:p>
        </w:tc>
      </w:tr>
      <w:tr>
        <w:tc>
          <w:tcPr>
            <w:tcW w:type="dxa" w:w="4320"/>
          </w:tcPr>
          <w:p>
            <w:r>
              <w:t>Vérifié par / le</w:t>
            </w:r>
          </w:p>
        </w:tc>
        <w:tc>
          <w:tcPr>
            <w:tcW w:type="dxa" w:w="4320"/>
          </w:tcPr>
          <w:p>
            <w:r>
              <w:t>WebFetch page Geofabrik 17/08/2026 — 2026-08-17</w:t>
            </w:r>
          </w:p>
        </w:tc>
      </w:tr>
    </w:tbl>
    <w:p>
      <w:pPr>
        <w:pStyle w:val="Heading1"/>
      </w:pPr>
      <w:r>
        <w:t>10. Sections du modèle Aether sans objet ici, et pourquoi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Question du modèle</w:t>
            </w:r>
          </w:p>
        </w:tc>
        <w:tc>
          <w:tcPr>
            <w:tcW w:type="dxa" w:w="4320"/>
          </w:tcPr>
          <w:p>
            <w:r>
              <w:t>Pourquoi elle ne s'applique pas</w:t>
            </w:r>
          </w:p>
        </w:tc>
      </w:tr>
      <w:tr>
        <w:tc>
          <w:tcPr>
            <w:tcW w:type="dxa" w:w="4320"/>
          </w:tcPr>
          <w:p>
            <w:r>
              <w:t>Découpages entraînement / validation / test</w:t>
            </w:r>
          </w:p>
        </w:tc>
        <w:tc>
          <w:tcPr>
            <w:tcW w:type="dxa" w:w="4320"/>
          </w:tcPr>
          <w:p>
            <w:r>
              <w:t>ce jeu n'entraîne aucun modèle ; il décrit un territoire</w:t>
            </w:r>
          </w:p>
        </w:tc>
      </w:tr>
      <w:tr>
        <w:tc>
          <w:tcPr>
            <w:tcW w:type="dxa" w:w="4320"/>
          </w:tcPr>
          <w:p>
            <w:r>
              <w:t>Groupes démographiques et leur répartition</w:t>
            </w:r>
          </w:p>
        </w:tc>
        <w:tc>
          <w:tcPr>
            <w:tcW w:type="dxa" w:w="4320"/>
          </w:tcPr>
          <w:p>
            <w:r>
              <w:t>agrégat territorial, aucune personne, aucune variable démographique individuelle</w:t>
            </w:r>
          </w:p>
        </w:tc>
      </w:tr>
      <w:tr>
        <w:tc>
          <w:tcPr>
            <w:tcW w:type="dxa" w:w="4320"/>
          </w:tcPr>
          <w:p>
            <w:r>
              <w:t>Consentement des personnes concernées</w:t>
            </w:r>
          </w:p>
        </w:tc>
        <w:tc>
          <w:tcPr>
            <w:tcW w:type="dxa" w:w="4320"/>
          </w:tcPr>
          <w:p>
            <w:r>
              <w:t>aucune personne concernée</w:t>
            </w:r>
          </w:p>
        </w:tc>
      </w:tr>
    </w:tbl>
    <w:p>
      <w:r>
        <w:rPr>
          <w:i/>
          <w:color w:val="516173"/>
        </w:rPr>
        <w:t>Fiche générée le 18/08/2026 par `build_datasheets.py`. Pour la mettre à jour : relancer le script — elle se recalcule sur le fichier publié.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