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Concordance des sources par commune</w:t>
      </w:r>
    </w:p>
    <w:p>
      <w:r>
        <w:rPr>
          <w:i/>
          <w:color w:val="516173"/>
        </w:rPr>
        <w:t>Fiche de documentation — modèle « Datasheets for Datasets » (Gebru et al.), version Aether Transparency Working Group, adaptée par Atmart Data aux agrégats territoriaux.</w:t>
      </w:r>
    </w:p>
    <w:p>
      <w:pPr>
        <w:pStyle w:val="IntenseQuote"/>
      </w:pPr>
      <w:r>
        <w:rPr>
          <w:b/>
        </w:rPr>
        <w:t>Cette fiche est GÉNÉRÉE depuis le fichier publié.</w:t>
      </w:r>
      <w:r>
        <w:rPr>
          <w:b w:val="0"/>
        </w:rPr>
        <w:t xml:space="preserve"> Les chiffres de complétude sont recomptés à chaque exécution, jamais recopiés d'une note. Une fiche qui vieillit mal est pire qu'une absence de fiche.</w:t>
      </w:r>
    </w:p>
    <w:p>
      <w:pPr>
        <w:pStyle w:val="Heading1"/>
      </w:pPr>
      <w:r>
        <w:t>1. Bases : contact, diffusion, accès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 du jeu</w:t>
            </w:r>
          </w:p>
        </w:tc>
        <w:tc>
          <w:tcPr>
            <w:tcW w:type="dxa" w:w="4320"/>
          </w:tcPr>
          <w:p>
            <w:r>
              <w:t>Concordance des sources, commune par commune</w:t>
            </w:r>
          </w:p>
        </w:tc>
      </w:tr>
      <w:tr>
        <w:tc>
          <w:tcPr>
            <w:tcW w:type="dxa" w:w="4320"/>
          </w:tcPr>
          <w:p>
            <w:r>
              <w:t>Fichier</w:t>
            </w:r>
          </w:p>
        </w:tc>
        <w:tc>
          <w:tcPr>
            <w:tcW w:type="dxa" w:w="4320"/>
          </w:tcPr>
          <w:p>
            <w:r>
              <w:t>atmart_concordance.json</w:t>
            </w:r>
          </w:p>
        </w:tc>
      </w:tr>
      <w:tr>
        <w:tc>
          <w:tcPr>
            <w:tcW w:type="dxa" w:w="4320"/>
          </w:tcPr>
          <w:p>
            <w:r>
              <w:t>Millésime</w:t>
            </w:r>
          </w:p>
        </w:tc>
        <w:tc>
          <w:tcPr>
            <w:tcW w:type="dxa" w:w="4320"/>
          </w:tcPr>
          <w:p>
            <w:r>
              <w:t>voir « source »</w:t>
            </w:r>
          </w:p>
        </w:tc>
      </w:tr>
      <w:tr>
        <w:tc>
          <w:tcPr>
            <w:tcW w:type="dxa" w:w="4320"/>
          </w:tcPr>
          <w:p>
            <w:r>
              <w:t>Responsable</w:t>
            </w:r>
          </w:p>
        </w:tc>
        <w:tc>
          <w:tcPr>
            <w:tcW w:type="dxa" w:w="4320"/>
          </w:tcPr>
          <w:p>
            <w:r>
              <w:t>Atmart Data — myriljeanwisner@gmail.com</w:t>
            </w:r>
          </w:p>
        </w:tc>
      </w:tr>
      <w:tr>
        <w:tc>
          <w:tcPr>
            <w:tcW w:type="dxa" w:w="4320"/>
          </w:tcPr>
          <w:p>
            <w:r>
              <w:t>Qui peut y accéder</w:t>
            </w:r>
          </w:p>
        </w:tc>
        <w:tc>
          <w:tcPr>
            <w:tcW w:type="dxa" w:w="4320"/>
          </w:tcPr>
          <w:p>
            <w:r>
              <w:t>tout le monde, sans compte</w:t>
            </w:r>
          </w:p>
        </w:tc>
      </w:tr>
      <w:tr>
        <w:tc>
          <w:tcPr>
            <w:tcW w:type="dxa" w:w="4320"/>
          </w:tcPr>
          <w:p>
            <w:r>
              <w:t>Comment</w:t>
            </w:r>
          </w:p>
        </w:tc>
        <w:tc>
          <w:tcPr>
            <w:tcW w:type="dxa" w:w="4320"/>
          </w:tcPr>
          <w:p>
            <w:r>
              <w:t>https://explorateur.atmart.ltd/data/atmart_concordance.json</w:t>
            </w:r>
          </w:p>
        </w:tc>
      </w:tr>
    </w:tbl>
    <w:p>
      <w:pPr>
        <w:pStyle w:val="Heading1"/>
      </w:pPr>
      <w:r>
        <w:t>2. Contenu</w:t>
      </w:r>
    </w:p>
    <w:p>
      <w:pPr>
        <w:pStyle w:val="ListBullet"/>
      </w:pPr>
      <w:r>
        <w:rPr>
          <w:b/>
        </w:rPr>
        <w:t>Ce que représente chaque entrée</w:t>
      </w:r>
      <w:r>
        <w:rPr>
          <w:b w:val="0"/>
        </w:rPr>
        <w:t xml:space="preserve"> : une commune.</w:t>
      </w:r>
    </w:p>
    <w:p>
      <w:pPr>
        <w:pStyle w:val="ListBullet"/>
      </w:pPr>
      <w:r>
        <w:rPr>
          <w:b/>
        </w:rPr>
        <w:t>Nombre d'entrées</w:t>
      </w:r>
      <w:r>
        <w:rPr>
          <w:b w:val="0"/>
        </w:rPr>
        <w:t xml:space="preserve"> : 140.</w:t>
      </w:r>
    </w:p>
    <w:p>
      <w:pPr>
        <w:pStyle w:val="ListBullet"/>
      </w:pPr>
      <w:r>
        <w:rPr>
          <w:b/>
        </w:rPr>
        <w:t>Source d'origine</w:t>
      </w:r>
      <w:r>
        <w:rPr>
          <w:b w:val="0"/>
        </w:rPr>
        <w:t xml:space="preserve"> : MSPP et OpenStreetMap (santé) ; MENFP et OpenStreetMap (écoles) ; IHSI, UNFPA/OCHA et WorldPop (population)</w:t>
      </w:r>
    </w:p>
    <w:p>
      <w:pPr>
        <w:pStyle w:val="Heading1"/>
      </w:pPr>
      <w:r>
        <w:t>3. Complétude — MESURÉE, pas déclarée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Entrées portant une mesure</w:t>
            </w:r>
          </w:p>
        </w:tc>
        <w:tc>
          <w:tcPr>
            <w:tcW w:type="dxa" w:w="4320"/>
          </w:tcPr>
          <w:p>
            <w:r>
              <w:t>140 sur 140 (100 %)</w:t>
            </w:r>
          </w:p>
        </w:tc>
      </w:tr>
      <w:tr>
        <w:tc>
          <w:tcPr>
            <w:tcW w:type="dxa" w:w="4320"/>
          </w:tcPr>
          <w:p>
            <w:r>
              <w:t>Critère de comptage</w:t>
            </w:r>
          </w:p>
        </w:tc>
        <w:tc>
          <w:tcPr>
            <w:tcW w:type="dxa" w:w="4320"/>
          </w:tcPr>
          <w:p>
            <w:r>
              <w:t>champ « n » non vide</w:t>
            </w:r>
          </w:p>
        </w:tc>
      </w:tr>
    </w:tbl>
    <w:p>
      <w:r>
        <w:rPr>
          <w:b w:val="0"/>
        </w:rPr>
        <w:t xml:space="preserve">Toutes les entrées portent une mesure. </w:t>
      </w:r>
      <w:r>
        <w:rPr>
          <w:b/>
        </w:rPr>
        <w:t>Cela ne veut pas dire que les valeurs sont justes</w:t>
      </w:r>
      <w:r>
        <w:rPr>
          <w:b w:val="0"/>
        </w:rPr>
        <w:t xml:space="preserve"> : la complétude mesure la présence d'un chiffre, jamais sa justesse. Voir la section 4.</w:t>
      </w:r>
    </w:p>
    <w:p>
      <w:pPr>
        <w:pStyle w:val="Heading1"/>
      </w:pPr>
      <w:r>
        <w:t>4. Concordance avec d'autres sources</w:t>
      </w:r>
    </w:p>
    <w:p>
      <w:r>
        <w:rPr>
          <w:b/>
        </w:rPr>
        <w:t>Aucune autre source ne mesure le même objet</w:t>
      </w:r>
      <w:r>
        <w:rPr>
          <w:b w:val="0"/>
        </w:rPr>
        <w:t xml:space="preserve"> dans le périmètre d'Atmart. Ce jeu est donc INVÉRIFIABLE en l'état — ce qui n'est pas un défaut de qualité, mais une limite de ce qu'on peut affirmer. Une seconde source serait la première amélioration à chercher.</w:t>
      </w:r>
    </w:p>
    <w:p>
      <w:pPr>
        <w:pStyle w:val="Heading1"/>
      </w:pPr>
      <w:r>
        <w:t>5. Usages prévus, et usages inappropriés</w:t>
      </w:r>
    </w:p>
    <w:p>
      <w:r>
        <w:rPr>
          <w:b/>
        </w:rPr>
        <w:t>Prévu</w:t>
      </w:r>
      <w:r>
        <w:rPr>
          <w:b w:val="0"/>
        </w:rPr>
        <w:t xml:space="preserve"> : situer un territoire, comparer des communes, préparer un diagnostic, alimenter un rapport en citant la source et le millésime.</w:t>
      </w:r>
    </w:p>
    <w:p>
      <w:r>
        <w:rPr>
          <w:b/>
        </w:rPr>
        <w:t>Inapproprié</w:t>
      </w:r>
      <w:r>
        <w:rPr>
          <w:b w:val="0"/>
        </w:rPr>
        <w:t xml:space="preserve"> :</w:t>
      </w:r>
    </w:p>
    <w:p>
      <w:pPr>
        <w:pStyle w:val="ListBullet"/>
      </w:pPr>
      <w:r>
        <w:rPr>
          <w:b w:val="0"/>
        </w:rPr>
        <w:t>traiter une absence comme un zéro ;</w:t>
      </w:r>
    </w:p>
    <w:p>
      <w:pPr>
        <w:pStyle w:val="ListBullet"/>
      </w:pPr>
      <w:r>
        <w:rPr>
          <w:b w:val="0"/>
        </w:rPr>
        <w:t>comparer deux communes documentées par des millésimes différents sans le dire ;</w:t>
      </w:r>
    </w:p>
    <w:p>
      <w:pPr>
        <w:pStyle w:val="ListBullet"/>
      </w:pPr>
      <w:r>
        <w:rPr>
          <w:b w:val="0"/>
        </w:rPr>
        <w:t>en tirer une conclusion sur des personnes : ce jeu est un agrégat territorial et ne descend jamais à l'individu.</w:t>
      </w:r>
    </w:p>
    <w:p>
      <w:pPr>
        <w:pStyle w:val="Heading1"/>
      </w:pPr>
      <w:r>
        <w:t>6. Qualité des données — ce que le producteur signale</w:t>
      </w:r>
    </w:p>
    <w:p>
      <w:pPr>
        <w:pStyle w:val="ListBullet"/>
      </w:pPr>
      <w:r>
        <w:rPr>
          <w:b w:val="0"/>
        </w:rPr>
        <w:t>CET INDICE NE NOTE PAS LES TERRITOIRES. Une commune en « fort désaccord » n'est pas une commune mal équipée : c'est une commune sur laquelle nos sources se contredisent. Il mesure l'état de l'information, jamais celui du terrain.</w:t>
      </w:r>
    </w:p>
    <w:p>
      <w:pPr>
        <w:pStyle w:val="ListBullet"/>
      </w:pPr>
      <w:r>
        <w:rPr>
          <w:b w:val="0"/>
        </w:rPr>
        <w:t>Un désaccord ne dit pas QUELLE source se trompe. Sur Gressier, c'est la projection officielle qui est aberrante et le satellite qui s'accorde avec l'IHSI — l'inverse de ce qu'on supposerait.</w:t>
      </w:r>
    </w:p>
    <w:p>
      <w:pPr>
        <w:pStyle w:val="ListBullet"/>
      </w:pPr>
      <w:r>
        <w:rPr>
          <w:b w:val="0"/>
        </w:rPr>
        <w:t>« Invérifiable » n'est pas « fiable » : c'est une famille où une seule source existe, donc où rien ne peut être confronté. C'est souvent plus inquiétant qu'un désaccord visible.</w:t>
      </w:r>
    </w:p>
    <w:p>
      <w:pPr>
        <w:pStyle w:val="ListBullet"/>
      </w:pPr>
      <w:r>
        <w:rPr>
          <w:b w:val="0"/>
        </w:rPr>
        <w:t>Les seuils 1,5 et 3 sont un choix d'Atmart, publié pour être discuté : le produit détaillé permet de recalculer autrement.</w:t>
      </w:r>
    </w:p>
    <w:p>
      <w:pPr>
        <w:pStyle w:val="ListBullet"/>
      </w:pPr>
      <w:r>
        <w:rPr>
          <w:b w:val="0"/>
        </w:rPr>
        <w:t>Aucune source n'est corrigée, aucune moyenne n'est faite : la moyenne d'un chiffre vrai et d'un chiffre faux est un troisième chiffre faux, avec l'autorité d'un calcul.</w:t>
      </w:r>
    </w:p>
    <w:p>
      <w:pPr>
        <w:pStyle w:val="Heading1"/>
      </w:pPr>
      <w:r>
        <w:t>7. Ce que ce jeu NE PERMET PAS de conclure</w:t>
      </w:r>
    </w:p>
    <w:p>
      <w:r>
        <w:rPr>
          <w:b w:val="0"/>
        </w:rPr>
        <w:t>Section ajoutée par Atmart : elle n'existe pas dans le modèle d'origine, et c'est celle qu'aucun producteur ne remplit spontanément.</w:t>
      </w:r>
    </w:p>
    <w:p>
      <w:pPr>
        <w:pStyle w:val="ListBullet"/>
      </w:pPr>
      <w:r>
        <w:rPr>
          <w:b w:val="0"/>
        </w:rPr>
        <w:t xml:space="preserve">Les valeurs décrivent un </w:t>
      </w:r>
      <w:r>
        <w:rPr>
          <w:b/>
        </w:rPr>
        <w:t>état mesuré</w:t>
      </w:r>
      <w:r>
        <w:rPr>
          <w:b w:val="0"/>
        </w:rPr>
        <w:t>, jamais une prévision.</w:t>
      </w:r>
    </w:p>
    <w:p>
      <w:pPr>
        <w:pStyle w:val="ListBullet"/>
      </w:pPr>
      <w:r>
        <w:rPr>
          <w:b w:val="0"/>
        </w:rPr>
        <w:t>Aucune causalité ne se lit ici : deux grandeurs corrélées sur 140 communes ne se commandent pas l'une l'autre.</w:t>
      </w:r>
    </w:p>
    <w:p>
      <w:pPr>
        <w:pStyle w:val="Heading1"/>
      </w:pPr>
      <w:r>
        <w:t>8. Vie privée</w:t>
      </w:r>
    </w:p>
    <w:p>
      <w:r>
        <w:rPr>
          <w:b/>
        </w:rPr>
        <w:t>Aucune donnée personnelle.</w:t>
      </w:r>
      <w:r>
        <w:rPr>
          <w:b w:val="0"/>
        </w:rPr>
        <w:t xml:space="preserve"> Ce jeu est un agrégat par commune ; aucune personne n'y est identifiable, directement ou indirectement, et aucun seuil de diffusion n'est requis. Les questions 24 à 27 du modèle Aether (consentement, données sensibles, analyse d'impact) sont donc </w:t>
      </w:r>
      <w:r>
        <w:rPr>
          <w:b/>
        </w:rPr>
        <w:t>sans objet</w:t>
      </w:r>
      <w:r>
        <w:rPr>
          <w:b w:val="0"/>
        </w:rPr>
        <w:t xml:space="preserve"> — et non « non renseignées ».</w:t>
      </w:r>
    </w:p>
    <w:p>
      <w:pPr>
        <w:pStyle w:val="Heading1"/>
      </w:pPr>
      <w:r>
        <w:t>9. Passeport juridique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Passeport</w:t>
            </w:r>
          </w:p>
        </w:tc>
        <w:tc>
          <w:tcPr>
            <w:tcW w:type="dxa" w:w="4320"/>
          </w:tcPr>
          <w:p>
            <w:r>
              <w:t>PSP-049</w:t>
            </w:r>
          </w:p>
        </w:tc>
      </w:tr>
      <w:tr>
        <w:tc>
          <w:tcPr>
            <w:tcW w:type="dxa" w:w="4320"/>
          </w:tcPr>
          <w:p>
            <w:r>
              <w:t>Producteur</w:t>
            </w:r>
          </w:p>
        </w:tc>
        <w:tc>
          <w:tcPr>
            <w:tcW w:type="dxa" w:w="4320"/>
          </w:tcPr>
          <w:p>
            <w:r>
              <w:t>Atmart Data</w:t>
            </w:r>
          </w:p>
        </w:tc>
      </w:tr>
      <w:tr>
        <w:tc>
          <w:tcPr>
            <w:tcW w:type="dxa" w:w="4320"/>
          </w:tcPr>
          <w:p>
            <w:r>
              <w:t>Licence</w:t>
            </w:r>
          </w:p>
        </w:tc>
        <w:tc>
          <w:tcPr>
            <w:tcW w:type="dxa" w:w="4320"/>
          </w:tcPr>
          <w:p>
            <w:r>
              <w:t>CC BY 4.0 — attribution « Atmart Data, Explorateur Haïti » ; les sources confrontées gardent chacune leur propre licence</w:t>
            </w:r>
          </w:p>
        </w:tc>
      </w:tr>
      <w:tr>
        <w:tc>
          <w:tcPr>
            <w:tcW w:type="dxa" w:w="4320"/>
          </w:tcPr>
          <w:p>
            <w:r>
              <w:t>Statut juridique</w:t>
            </w:r>
          </w:p>
        </w:tc>
        <w:tc>
          <w:tcPr>
            <w:tcW w:type="dxa" w:w="4320"/>
          </w:tcPr>
          <w:p>
            <w:r>
              <w:t>OUVERTE_AVEC_ATTRIBUTION</w:t>
            </w:r>
          </w:p>
        </w:tc>
      </w:tr>
      <w:tr>
        <w:tc>
          <w:tcPr>
            <w:tcW w:type="dxa" w:w="4320"/>
          </w:tcPr>
          <w:p>
            <w:r>
              <w:t>Redistribution</w:t>
            </w:r>
          </w:p>
        </w:tc>
        <w:tc>
          <w:tcPr>
            <w:tcW w:type="dxa" w:w="4320"/>
          </w:tcPr>
          <w:p>
            <w:r>
              <w:t>Oui</w:t>
            </w:r>
          </w:p>
        </w:tc>
      </w:tr>
      <w:tr>
        <w:tc>
          <w:tcPr>
            <w:tcW w:type="dxa" w:w="4320"/>
          </w:tcPr>
          <w:p>
            <w:r>
              <w:t>Usage commercial</w:t>
            </w:r>
          </w:p>
        </w:tc>
        <w:tc>
          <w:tcPr>
            <w:tcW w:type="dxa" w:w="4320"/>
          </w:tcPr>
          <w:p>
            <w:r>
              <w:t>Oui</w:t>
            </w:r>
          </w:p>
        </w:tc>
      </w:tr>
      <w:tr>
        <w:tc>
          <w:tcPr>
            <w:tcW w:type="dxa" w:w="4320"/>
          </w:tcPr>
          <w:p>
            <w:r>
              <w:t>Publiable librement</w:t>
            </w:r>
          </w:p>
        </w:tc>
        <w:tc>
          <w:tcPr>
            <w:tcW w:type="dxa" w:w="4320"/>
          </w:tcPr>
          <w:p>
            <w:r>
              <w:t>OUI — production Atmart sur des sources ouvertes, aucune restriction héritée</w:t>
            </w:r>
          </w:p>
        </w:tc>
      </w:tr>
      <w:tr>
        <w:tc>
          <w:tcPr>
            <w:tcW w:type="dxa" w:w="4320"/>
          </w:tcPr>
          <w:p>
            <w:r>
              <w:t>Utilisable en prestation payante</w:t>
            </w:r>
          </w:p>
        </w:tc>
        <w:tc>
          <w:tcPr>
            <w:tcW w:type="dxa" w:w="4320"/>
          </w:tcPr>
          <w:p>
            <w:r>
              <w:t>OUI — c'est le socle de la prestation « Atmart Vérifié »</w:t>
            </w:r>
          </w:p>
        </w:tc>
      </w:tr>
      <w:tr>
        <w:tc>
          <w:tcPr>
            <w:tcW w:type="dxa" w:w="4320"/>
          </w:tcPr>
          <w:p>
            <w:r>
              <w:t>Vérifié par / le</w:t>
            </w:r>
          </w:p>
        </w:tc>
        <w:tc>
          <w:tcPr>
            <w:tcW w:type="dxa" w:w="4320"/>
          </w:tcPr>
          <w:p>
            <w:r>
              <w:t>Atmart Data — 18/08/2026, production propre sur sources ouvertes (MSPP décret 12/10/2005 art. 5, MENFP idem, OSM ODbL, IHSI, UNFPA CC BY-IGO, WorldPop CC BY 4.0) — 2026-08-18</w:t>
            </w:r>
          </w:p>
        </w:tc>
      </w:tr>
    </w:tbl>
    <w:p>
      <w:pPr>
        <w:pStyle w:val="Heading1"/>
      </w:pPr>
      <w:r>
        <w:t>10. Sections du modèle Aether sans objet ici, et pourquoi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Question du modèle</w:t>
            </w:r>
          </w:p>
        </w:tc>
        <w:tc>
          <w:tcPr>
            <w:tcW w:type="dxa" w:w="4320"/>
          </w:tcPr>
          <w:p>
            <w:r>
              <w:t>Pourquoi elle ne s'applique pas</w:t>
            </w:r>
          </w:p>
        </w:tc>
      </w:tr>
      <w:tr>
        <w:tc>
          <w:tcPr>
            <w:tcW w:type="dxa" w:w="4320"/>
          </w:tcPr>
          <w:p>
            <w:r>
              <w:t>Découpages entraînement / validation / test</w:t>
            </w:r>
          </w:p>
        </w:tc>
        <w:tc>
          <w:tcPr>
            <w:tcW w:type="dxa" w:w="4320"/>
          </w:tcPr>
          <w:p>
            <w:r>
              <w:t>ce jeu n'entraîne aucun modèle ; il décrit un territoire</w:t>
            </w:r>
          </w:p>
        </w:tc>
      </w:tr>
      <w:tr>
        <w:tc>
          <w:tcPr>
            <w:tcW w:type="dxa" w:w="4320"/>
          </w:tcPr>
          <w:p>
            <w:r>
              <w:t>Groupes démographiques et leur répartition</w:t>
            </w:r>
          </w:p>
        </w:tc>
        <w:tc>
          <w:tcPr>
            <w:tcW w:type="dxa" w:w="4320"/>
          </w:tcPr>
          <w:p>
            <w:r>
              <w:t>agrégat territorial, aucune personne, aucune variable démographique individuelle</w:t>
            </w:r>
          </w:p>
        </w:tc>
      </w:tr>
      <w:tr>
        <w:tc>
          <w:tcPr>
            <w:tcW w:type="dxa" w:w="4320"/>
          </w:tcPr>
          <w:p>
            <w:r>
              <w:t>Consentement des personnes concernées</w:t>
            </w:r>
          </w:p>
        </w:tc>
        <w:tc>
          <w:tcPr>
            <w:tcW w:type="dxa" w:w="4320"/>
          </w:tcPr>
          <w:p>
            <w:r>
              <w:t>aucune personne concernée</w:t>
            </w:r>
          </w:p>
        </w:tc>
      </w:tr>
    </w:tbl>
    <w:p>
      <w:r>
        <w:rPr>
          <w:i/>
          <w:color w:val="516173"/>
        </w:rPr>
        <w:t>Fiche générée le 18/08/2026 par `build_datasheets.py`. Pour la mettre à jour : relancer le script — elle se recalcule sur le fichier publié.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